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E70E" w14:textId="2BE18B60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u w:val="single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u w:val="single"/>
          <w:lang w:val="en-GB"/>
        </w:rPr>
        <w:t xml:space="preserve">Frequently Asked Questions (FAQ) – Regional HIV </w:t>
      </w:r>
      <w:r w:rsidR="001755EF" w:rsidRPr="00665FEF">
        <w:rPr>
          <w:rFonts w:ascii="Verdana" w:hAnsi="Verdana"/>
          <w:b/>
          <w:bCs/>
          <w:sz w:val="18"/>
          <w:szCs w:val="18"/>
          <w:u w:val="single"/>
          <w:lang w:val="en-GB"/>
        </w:rPr>
        <w:t>Instrument</w:t>
      </w:r>
    </w:p>
    <w:p w14:paraId="6DF0EE55" w14:textId="77777777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1. Eligibility and Registration</w:t>
      </w:r>
    </w:p>
    <w:p w14:paraId="4EF42272" w14:textId="6B61DDA4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a regional CSO be registered outside the six countries?</w:t>
      </w:r>
      <w:r w:rsidRPr="00665FEF">
        <w:rPr>
          <w:rFonts w:ascii="Verdana" w:hAnsi="Verdana"/>
          <w:sz w:val="18"/>
          <w:szCs w:val="18"/>
          <w:lang w:val="en-GB"/>
        </w:rPr>
        <w:br/>
        <w:t xml:space="preserve">No. Only regional CSOs registered in one of the six focus countries (Angola, Eswatini, Mozambique, South Africa, Zambia, or Zimbabwe) are eligible to apply as </w:t>
      </w:r>
      <w:r w:rsidR="00893880" w:rsidRPr="00665FEF">
        <w:rPr>
          <w:rFonts w:ascii="Verdana" w:hAnsi="Verdana"/>
          <w:sz w:val="18"/>
          <w:szCs w:val="18"/>
          <w:lang w:val="en-GB"/>
        </w:rPr>
        <w:t>main</w:t>
      </w:r>
      <w:r w:rsidRPr="00665FEF">
        <w:rPr>
          <w:rFonts w:ascii="Verdana" w:hAnsi="Verdana"/>
          <w:sz w:val="18"/>
          <w:szCs w:val="18"/>
          <w:lang w:val="en-GB"/>
        </w:rPr>
        <w:t xml:space="preserve"> applicants.</w:t>
      </w:r>
    </w:p>
    <w:p w14:paraId="01E53582" w14:textId="7851E8AF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Are regional CSOs registered in Malawi or Lesotho</w:t>
      </w:r>
      <w:r w:rsidR="001A3909" w:rsidRPr="00665FEF">
        <w:rPr>
          <w:rFonts w:ascii="Verdana" w:hAnsi="Verdana"/>
          <w:b/>
          <w:bCs/>
          <w:sz w:val="18"/>
          <w:szCs w:val="18"/>
          <w:lang w:val="en-GB"/>
        </w:rPr>
        <w:t xml:space="preserve"> be</w:t>
      </w:r>
      <w:r w:rsidRPr="00665FEF">
        <w:rPr>
          <w:rFonts w:ascii="Verdana" w:hAnsi="Verdana"/>
          <w:b/>
          <w:bCs/>
          <w:sz w:val="18"/>
          <w:szCs w:val="18"/>
          <w:lang w:val="en-GB"/>
        </w:rPr>
        <w:t xml:space="preserve"> eligible</w:t>
      </w:r>
      <w:r w:rsidR="001A3909" w:rsidRPr="00665FEF">
        <w:rPr>
          <w:rFonts w:ascii="Verdana" w:hAnsi="Verdana"/>
          <w:b/>
          <w:bCs/>
          <w:sz w:val="18"/>
          <w:szCs w:val="18"/>
          <w:lang w:val="en-GB"/>
        </w:rPr>
        <w:t xml:space="preserve"> as </w:t>
      </w:r>
      <w:r w:rsidR="00893880" w:rsidRPr="00665FEF">
        <w:rPr>
          <w:rFonts w:ascii="Verdana" w:hAnsi="Verdana"/>
          <w:b/>
          <w:bCs/>
          <w:sz w:val="18"/>
          <w:szCs w:val="18"/>
          <w:lang w:val="en-GB"/>
        </w:rPr>
        <w:t>main applicant</w:t>
      </w:r>
      <w:r w:rsidRPr="00665FEF">
        <w:rPr>
          <w:rFonts w:ascii="Verdana" w:hAnsi="Verdana"/>
          <w:b/>
          <w:bCs/>
          <w:sz w:val="18"/>
          <w:szCs w:val="18"/>
          <w:lang w:val="en-GB"/>
        </w:rPr>
        <w:t>?</w:t>
      </w:r>
      <w:r w:rsidRPr="00665FEF">
        <w:rPr>
          <w:rFonts w:ascii="Verdana" w:hAnsi="Verdana"/>
          <w:sz w:val="18"/>
          <w:szCs w:val="18"/>
          <w:lang w:val="en-GB"/>
        </w:rPr>
        <w:br/>
        <w:t xml:space="preserve">No. Organisations registered in Malawi or Lesotho cannot apply as </w:t>
      </w:r>
      <w:r w:rsidR="00893880" w:rsidRPr="00665FEF">
        <w:rPr>
          <w:rFonts w:ascii="Verdana" w:hAnsi="Verdana"/>
          <w:sz w:val="18"/>
          <w:szCs w:val="18"/>
          <w:lang w:val="en-GB"/>
        </w:rPr>
        <w:t>main applicant</w:t>
      </w:r>
      <w:r w:rsidRPr="00665FEF">
        <w:rPr>
          <w:rFonts w:ascii="Verdana" w:hAnsi="Verdana"/>
          <w:sz w:val="18"/>
          <w:szCs w:val="18"/>
          <w:lang w:val="en-GB"/>
        </w:rPr>
        <w:t xml:space="preserve"> but may be included as sub-partners.</w:t>
      </w:r>
    </w:p>
    <w:p w14:paraId="68A21D7A" w14:textId="5338E696" w:rsidR="00714BA9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international organisations headquartered outside the region apply</w:t>
      </w:r>
      <w:r w:rsidR="001A3909" w:rsidRPr="00665FEF">
        <w:rPr>
          <w:rFonts w:ascii="Verdana" w:hAnsi="Verdana"/>
          <w:b/>
          <w:bCs/>
          <w:sz w:val="18"/>
          <w:szCs w:val="18"/>
          <w:lang w:val="en-GB"/>
        </w:rPr>
        <w:t xml:space="preserve"> as </w:t>
      </w:r>
      <w:r w:rsidR="00893880" w:rsidRPr="00665FEF">
        <w:rPr>
          <w:rFonts w:ascii="Verdana" w:hAnsi="Verdana"/>
          <w:b/>
          <w:bCs/>
          <w:sz w:val="18"/>
          <w:szCs w:val="18"/>
          <w:lang w:val="en-GB"/>
        </w:rPr>
        <w:t>main applicant</w:t>
      </w:r>
      <w:r w:rsidRPr="00665FEF">
        <w:rPr>
          <w:rFonts w:ascii="Verdana" w:hAnsi="Verdana"/>
          <w:b/>
          <w:bCs/>
          <w:sz w:val="18"/>
          <w:szCs w:val="18"/>
          <w:lang w:val="en-GB"/>
        </w:rPr>
        <w:t>?</w:t>
      </w:r>
    </w:p>
    <w:p w14:paraId="162B9497" w14:textId="71DC9EDF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sz w:val="18"/>
          <w:szCs w:val="18"/>
          <w:lang w:val="en-GB"/>
        </w:rPr>
        <w:t xml:space="preserve">No. INGOs headquartered outside the region, even if locally registered, are not eligible to apply as </w:t>
      </w:r>
      <w:r w:rsidR="00893880" w:rsidRPr="00665FEF">
        <w:rPr>
          <w:rFonts w:ascii="Verdana" w:hAnsi="Verdana"/>
          <w:sz w:val="18"/>
          <w:szCs w:val="18"/>
          <w:lang w:val="en-GB"/>
        </w:rPr>
        <w:t>main</w:t>
      </w:r>
      <w:r w:rsidRPr="00665FEF">
        <w:rPr>
          <w:rFonts w:ascii="Verdana" w:hAnsi="Verdana"/>
          <w:sz w:val="18"/>
          <w:szCs w:val="18"/>
          <w:lang w:val="en-GB"/>
        </w:rPr>
        <w:t xml:space="preserve"> applicants.</w:t>
      </w:r>
    </w:p>
    <w:p w14:paraId="401E8831" w14:textId="77777777" w:rsidR="00714BA9" w:rsidRPr="00665FEF" w:rsidRDefault="00714BA9" w:rsidP="00F0701C">
      <w:pPr>
        <w:rPr>
          <w:rFonts w:ascii="Verdana" w:hAnsi="Verdana"/>
          <w:sz w:val="18"/>
          <w:szCs w:val="18"/>
          <w:lang w:val="en-GB"/>
        </w:rPr>
      </w:pPr>
    </w:p>
    <w:p w14:paraId="20F02E36" w14:textId="77777777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2. Budget and Financial Criteria</w:t>
      </w:r>
    </w:p>
    <w:p w14:paraId="3929A0CA" w14:textId="13BD54E8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are the minimum and maximum budget limits?</w:t>
      </w:r>
      <w:r w:rsidRPr="00665FEF">
        <w:rPr>
          <w:rFonts w:ascii="Verdana" w:hAnsi="Verdana"/>
          <w:sz w:val="18"/>
          <w:szCs w:val="18"/>
          <w:lang w:val="en-GB"/>
        </w:rPr>
        <w:br/>
        <w:t xml:space="preserve">The minimum total budget is </w:t>
      </w:r>
      <w:r w:rsidRPr="00665FEF">
        <w:rPr>
          <w:rFonts w:ascii="Verdana" w:hAnsi="Verdana" w:cs="Verdana"/>
          <w:sz w:val="18"/>
          <w:szCs w:val="18"/>
          <w:lang w:val="en-GB"/>
        </w:rPr>
        <w:t>€</w:t>
      </w:r>
      <w:r w:rsidRPr="00665FEF">
        <w:rPr>
          <w:rFonts w:ascii="Verdana" w:hAnsi="Verdana"/>
          <w:sz w:val="18"/>
          <w:szCs w:val="18"/>
          <w:lang w:val="en-GB"/>
        </w:rPr>
        <w:t xml:space="preserve">15 million, and the maximum is </w:t>
      </w:r>
      <w:r w:rsidRPr="00665FEF">
        <w:rPr>
          <w:rFonts w:ascii="Verdana" w:hAnsi="Verdana" w:cs="Verdana"/>
          <w:sz w:val="18"/>
          <w:szCs w:val="18"/>
          <w:lang w:val="en-GB"/>
        </w:rPr>
        <w:t>€</w:t>
      </w:r>
      <w:r w:rsidRPr="00665FEF">
        <w:rPr>
          <w:rFonts w:ascii="Verdana" w:hAnsi="Verdana"/>
          <w:sz w:val="18"/>
          <w:szCs w:val="18"/>
          <w:lang w:val="en-GB"/>
        </w:rPr>
        <w:t>83.7 million, depending on each organisation</w:t>
      </w:r>
      <w:r w:rsidRPr="00665FEF">
        <w:rPr>
          <w:rFonts w:ascii="Verdana" w:hAnsi="Verdana" w:cs="Verdana"/>
          <w:sz w:val="18"/>
          <w:szCs w:val="18"/>
          <w:lang w:val="en-GB"/>
        </w:rPr>
        <w:t>’</w:t>
      </w:r>
      <w:r w:rsidRPr="00665FEF">
        <w:rPr>
          <w:rFonts w:ascii="Verdana" w:hAnsi="Verdana"/>
          <w:sz w:val="18"/>
          <w:szCs w:val="18"/>
          <w:lang w:val="en-GB"/>
        </w:rPr>
        <w:t>s financial capacity (up to five times their average annual non-MoFA income for 2022</w:t>
      </w:r>
      <w:r w:rsidRPr="00665FEF">
        <w:rPr>
          <w:rFonts w:ascii="Verdana" w:hAnsi="Verdana" w:cs="Verdana"/>
          <w:sz w:val="18"/>
          <w:szCs w:val="18"/>
          <w:lang w:val="en-GB"/>
        </w:rPr>
        <w:t>–</w:t>
      </w:r>
      <w:r w:rsidRPr="00665FEF">
        <w:rPr>
          <w:rFonts w:ascii="Verdana" w:hAnsi="Verdana"/>
          <w:sz w:val="18"/>
          <w:szCs w:val="18"/>
          <w:lang w:val="en-GB"/>
        </w:rPr>
        <w:t>2024).</w:t>
      </w:r>
    </w:p>
    <w:p w14:paraId="5AB806D6" w14:textId="7B5540C8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is the maximum overhead rate?</w:t>
      </w:r>
      <w:r w:rsidRPr="00665FEF">
        <w:rPr>
          <w:rFonts w:ascii="Verdana" w:hAnsi="Verdana"/>
          <w:sz w:val="18"/>
          <w:szCs w:val="18"/>
          <w:lang w:val="en-GB"/>
        </w:rPr>
        <w:br/>
        <w:t>Up to 15% of the total budget, provided it is reasonable and well justified.</w:t>
      </w:r>
    </w:p>
    <w:p w14:paraId="18458B43" w14:textId="7208C6D1" w:rsidR="001755EF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are the financial eligibility rules?</w:t>
      </w:r>
      <w:r w:rsidRPr="00665FEF">
        <w:rPr>
          <w:rFonts w:ascii="Verdana" w:hAnsi="Verdana"/>
          <w:sz w:val="18"/>
          <w:szCs w:val="18"/>
          <w:lang w:val="en-GB"/>
        </w:rPr>
        <w:br/>
        <w:t>Regional CSOs must show at least 25% non-MoFA income and may not request funding exceeding five times their average annual non-MoFA income.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</w:t>
      </w:r>
      <w:r w:rsidR="00893880" w:rsidRPr="00665FEF">
        <w:rPr>
          <w:rFonts w:ascii="Verdana" w:hAnsi="Verdana"/>
          <w:sz w:val="18"/>
          <w:szCs w:val="18"/>
          <w:lang w:val="en-GB"/>
        </w:rPr>
        <w:t xml:space="preserve">See threshold criteria on financial </w:t>
      </w:r>
      <w:r w:rsidR="00665FEF" w:rsidRPr="00665FEF">
        <w:rPr>
          <w:rFonts w:ascii="Verdana" w:hAnsi="Verdana"/>
          <w:sz w:val="18"/>
          <w:szCs w:val="18"/>
          <w:lang w:val="en-GB"/>
        </w:rPr>
        <w:t>independence. Exceptions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are made for specialist organisations and for small southern organisations. </w:t>
      </w:r>
      <w:r w:rsidR="00E45933" w:rsidRPr="00665FEF">
        <w:rPr>
          <w:rFonts w:ascii="Verdana" w:hAnsi="Verdana"/>
          <w:sz w:val="18"/>
          <w:szCs w:val="18"/>
          <w:lang w:val="en-GB"/>
        </w:rPr>
        <w:t xml:space="preserve">See the </w:t>
      </w:r>
      <w:r w:rsidR="00893880" w:rsidRPr="00665FEF">
        <w:rPr>
          <w:rFonts w:ascii="Verdana" w:hAnsi="Verdana"/>
          <w:sz w:val="18"/>
          <w:szCs w:val="18"/>
          <w:lang w:val="en-GB"/>
        </w:rPr>
        <w:t>threshold criteria (annex of the document)</w:t>
      </w:r>
      <w:r w:rsidR="00E45933" w:rsidRPr="00665FEF">
        <w:rPr>
          <w:rFonts w:ascii="Verdana" w:hAnsi="Verdana"/>
          <w:sz w:val="18"/>
          <w:szCs w:val="18"/>
          <w:lang w:val="en-GB"/>
        </w:rPr>
        <w:t xml:space="preserve"> on financial independence criteria. </w:t>
      </w:r>
      <w:r w:rsidR="00893880" w:rsidRPr="00665FEF">
        <w:rPr>
          <w:rFonts w:ascii="Verdana" w:hAnsi="Verdana"/>
          <w:sz w:val="18"/>
          <w:szCs w:val="18"/>
          <w:lang w:val="en-GB"/>
        </w:rPr>
        <w:t>Exceptions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may be eligible to receive a grant that on an annual basis exceeds the average of their non-MFA income over the past three years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. However, the proposed </w:t>
      </w:r>
      <w:r w:rsidR="00E45933" w:rsidRPr="00665FEF">
        <w:rPr>
          <w:rFonts w:ascii="Verdana" w:hAnsi="Verdana"/>
          <w:sz w:val="18"/>
          <w:szCs w:val="18"/>
          <w:lang w:val="en-GB"/>
        </w:rPr>
        <w:t>concept note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will be assessed on the applicants’ financial management capacity </w:t>
      </w:r>
      <w:r w:rsidR="00893880" w:rsidRPr="00665FEF">
        <w:rPr>
          <w:rFonts w:ascii="Verdana" w:hAnsi="Verdana"/>
          <w:sz w:val="18"/>
          <w:szCs w:val="18"/>
          <w:lang w:val="en-GB"/>
        </w:rPr>
        <w:t>vis a vis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relevant track record</w:t>
      </w:r>
      <w:r w:rsidR="00893880" w:rsidRPr="00665FEF">
        <w:rPr>
          <w:rFonts w:ascii="Verdana" w:hAnsi="Verdana"/>
          <w:sz w:val="18"/>
          <w:szCs w:val="18"/>
          <w:lang w:val="en-GB"/>
        </w:rPr>
        <w:t xml:space="preserve"> in managing relevant HIV programmes.</w:t>
      </w:r>
    </w:p>
    <w:p w14:paraId="3ADEA5A6" w14:textId="208DB1A4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</w:p>
    <w:p w14:paraId="0A85A4EE" w14:textId="77777777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3. Partnership and Collaboration</w:t>
      </w:r>
    </w:p>
    <w:p w14:paraId="70E8E8FF" w14:textId="08D90637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How formal must collaboration with Aidsfonds be?</w:t>
      </w:r>
      <w:r w:rsidRPr="00665FEF">
        <w:rPr>
          <w:rFonts w:ascii="Verdana" w:hAnsi="Verdana"/>
          <w:sz w:val="18"/>
          <w:szCs w:val="18"/>
          <w:lang w:val="en-GB"/>
        </w:rPr>
        <w:br/>
        <w:t>During the concept phase, collaboration is informal; in the full proposal phase, it must be formalized through an MoU.</w:t>
      </w:r>
    </w:p>
    <w:p w14:paraId="323F7A7F" w14:textId="340E74C5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UN agencies, INGOs, or private sector actors be partners?</w:t>
      </w:r>
      <w:r w:rsidRPr="00665FEF">
        <w:rPr>
          <w:rFonts w:ascii="Verdana" w:hAnsi="Verdana"/>
          <w:sz w:val="18"/>
          <w:szCs w:val="18"/>
          <w:lang w:val="en-GB"/>
        </w:rPr>
        <w:br/>
        <w:t>Yes, but they cannot receive funds. They may participate as technical or strategic allies.</w:t>
      </w:r>
    </w:p>
    <w:p w14:paraId="03CBC0E6" w14:textId="5AA09E10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Will Aidsfonds coordinate concept notes to avoid duplication?</w:t>
      </w:r>
      <w:r w:rsidRPr="00665FEF">
        <w:rPr>
          <w:rFonts w:ascii="Verdana" w:hAnsi="Verdana"/>
          <w:sz w:val="18"/>
          <w:szCs w:val="18"/>
          <w:lang w:val="en-GB"/>
        </w:rPr>
        <w:br/>
        <w:t>No. EKN Maputo will ensure complementarity during the selection process.</w:t>
      </w:r>
    </w:p>
    <w:p w14:paraId="7D31B038" w14:textId="494F87D3" w:rsidR="001A3909" w:rsidRPr="00665FEF" w:rsidRDefault="001A3909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a Dutch CSO be sub</w:t>
      </w:r>
      <w:r w:rsidR="00714BA9" w:rsidRPr="00665FEF">
        <w:rPr>
          <w:rFonts w:ascii="Verdana" w:hAnsi="Verdana"/>
          <w:b/>
          <w:bCs/>
          <w:sz w:val="18"/>
          <w:szCs w:val="18"/>
          <w:lang w:val="en-GB"/>
        </w:rPr>
        <w:t>-grantees?</w:t>
      </w:r>
    </w:p>
    <w:p w14:paraId="1C1B4D23" w14:textId="06F4C46A" w:rsidR="001A3909" w:rsidRPr="00665FEF" w:rsidRDefault="00714BA9" w:rsidP="001A3909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sz w:val="18"/>
          <w:szCs w:val="18"/>
          <w:lang w:val="en-GB"/>
        </w:rPr>
        <w:t xml:space="preserve">Yes. </w:t>
      </w:r>
      <w:r w:rsidR="001A3909" w:rsidRPr="00665FEF">
        <w:rPr>
          <w:rFonts w:ascii="Verdana" w:hAnsi="Verdana"/>
          <w:sz w:val="18"/>
          <w:szCs w:val="18"/>
          <w:lang w:val="en-GB"/>
        </w:rPr>
        <w:t xml:space="preserve">Dutch CSOs are eligible as subgrantees, both by regional </w:t>
      </w:r>
      <w:r w:rsidR="00893880" w:rsidRPr="00665FEF">
        <w:rPr>
          <w:rFonts w:ascii="Verdana" w:hAnsi="Verdana"/>
          <w:sz w:val="18"/>
          <w:szCs w:val="18"/>
          <w:lang w:val="en-GB"/>
        </w:rPr>
        <w:t>CSOs</w:t>
      </w:r>
      <w:r w:rsidR="001A3909" w:rsidRPr="00665FEF">
        <w:rPr>
          <w:rFonts w:ascii="Verdana" w:hAnsi="Verdana"/>
          <w:sz w:val="18"/>
          <w:szCs w:val="18"/>
          <w:lang w:val="en-GB"/>
        </w:rPr>
        <w:t xml:space="preserve"> as well as Aidsfonds. However, all activities should have a clear link to the main goals of the program and should be in line with the guiding policy principles, including localization. </w:t>
      </w:r>
      <w:r w:rsidRPr="00665FEF">
        <w:rPr>
          <w:rFonts w:ascii="Verdana" w:hAnsi="Verdana"/>
          <w:sz w:val="18"/>
          <w:szCs w:val="18"/>
          <w:lang w:val="en-GB"/>
        </w:rPr>
        <w:t>A</w:t>
      </w:r>
      <w:r w:rsidR="001A3909" w:rsidRPr="00665FEF">
        <w:rPr>
          <w:rFonts w:ascii="Verdana" w:hAnsi="Verdana"/>
          <w:sz w:val="18"/>
          <w:szCs w:val="18"/>
          <w:lang w:val="en-GB"/>
        </w:rPr>
        <w:t xml:space="preserve"> Dutch organization could be subcontracted when it provides a specific unique expertise that can’t be provided by a local implementing partner, while this expertise is necessary for the implementation of the goals of this program. </w:t>
      </w:r>
      <w:r w:rsidR="001755EF" w:rsidRPr="00665FEF">
        <w:rPr>
          <w:rFonts w:ascii="Verdana" w:hAnsi="Verdana"/>
          <w:sz w:val="18"/>
          <w:szCs w:val="18"/>
          <w:lang w:val="en-GB"/>
        </w:rPr>
        <w:t>A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Dutch CSO could also be subcontracted based on a specific capacity-strengthening need identified by Aidsfonds, or in cases where the required expertise cannot be provided by Aidsfonds itself, </w:t>
      </w:r>
      <w:r w:rsidR="00665FEF" w:rsidRPr="00665FEF">
        <w:rPr>
          <w:rFonts w:ascii="Verdana" w:hAnsi="Verdana"/>
          <w:sz w:val="18"/>
          <w:szCs w:val="18"/>
          <w:lang w:val="en-GB"/>
        </w:rPr>
        <w:t>to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enhance the delivery of specific capacities within the implementation of the programme.</w:t>
      </w:r>
    </w:p>
    <w:p w14:paraId="6FE1F4D7" w14:textId="77777777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lastRenderedPageBreak/>
        <w:t>4. Programme Design and Duration</w:t>
      </w:r>
    </w:p>
    <w:p w14:paraId="4A7AD530" w14:textId="19D5B412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is the duration of the pro</w:t>
      </w:r>
      <w:r w:rsidR="00714BA9" w:rsidRPr="00665FEF">
        <w:rPr>
          <w:rFonts w:ascii="Verdana" w:hAnsi="Verdana"/>
          <w:b/>
          <w:bCs/>
          <w:sz w:val="18"/>
          <w:szCs w:val="18"/>
          <w:lang w:val="en-GB"/>
        </w:rPr>
        <w:t>gramme</w:t>
      </w:r>
      <w:r w:rsidRPr="00665FEF">
        <w:rPr>
          <w:rFonts w:ascii="Verdana" w:hAnsi="Verdana"/>
          <w:b/>
          <w:bCs/>
          <w:sz w:val="18"/>
          <w:szCs w:val="18"/>
          <w:lang w:val="en-GB"/>
        </w:rPr>
        <w:t>?</w:t>
      </w:r>
      <w:r w:rsidRPr="00665FEF">
        <w:rPr>
          <w:rFonts w:ascii="Verdana" w:hAnsi="Verdana"/>
          <w:sz w:val="18"/>
          <w:szCs w:val="18"/>
          <w:lang w:val="en-GB"/>
        </w:rPr>
        <w:br/>
        <w:t>Programmes should cover the full five-year period (2026</w:t>
      </w:r>
      <w:r w:rsidRPr="00665FEF">
        <w:rPr>
          <w:rFonts w:ascii="Verdana" w:hAnsi="Verdana" w:cs="Verdana"/>
          <w:sz w:val="18"/>
          <w:szCs w:val="18"/>
          <w:lang w:val="en-GB"/>
        </w:rPr>
        <w:t>–</w:t>
      </w:r>
      <w:r w:rsidRPr="00665FEF">
        <w:rPr>
          <w:rFonts w:ascii="Verdana" w:hAnsi="Verdana"/>
          <w:sz w:val="18"/>
          <w:szCs w:val="18"/>
          <w:lang w:val="en-GB"/>
        </w:rPr>
        <w:t>2030), aligned with the HIV Instrument</w:t>
      </w:r>
      <w:r w:rsidRPr="00665FEF">
        <w:rPr>
          <w:rFonts w:ascii="Verdana" w:hAnsi="Verdana" w:cs="Verdana"/>
          <w:sz w:val="18"/>
          <w:szCs w:val="18"/>
          <w:lang w:val="en-GB"/>
        </w:rPr>
        <w:t>’</w:t>
      </w:r>
      <w:r w:rsidRPr="00665FEF">
        <w:rPr>
          <w:rFonts w:ascii="Verdana" w:hAnsi="Verdana"/>
          <w:sz w:val="18"/>
          <w:szCs w:val="18"/>
          <w:lang w:val="en-GB"/>
        </w:rPr>
        <w:t>s timeline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and the broader </w:t>
      </w:r>
      <w:hyperlink r:id="rId4" w:history="1">
        <w:r w:rsidR="001755EF" w:rsidRPr="00665FEF">
          <w:rPr>
            <w:rStyle w:val="Hyperlink"/>
            <w:rFonts w:ascii="Verdana" w:hAnsi="Verdana"/>
            <w:sz w:val="18"/>
            <w:szCs w:val="18"/>
            <w:lang w:val="en-GB"/>
          </w:rPr>
          <w:t>Focus policy framework</w:t>
        </w:r>
      </w:hyperlink>
      <w:r w:rsidRPr="00665FEF">
        <w:rPr>
          <w:rFonts w:ascii="Verdana" w:hAnsi="Verdana"/>
          <w:sz w:val="18"/>
          <w:szCs w:val="18"/>
          <w:lang w:val="en-GB"/>
        </w:rPr>
        <w:t>.</w:t>
      </w:r>
    </w:p>
    <w:p w14:paraId="655180A8" w14:textId="36249BC7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activities start in different countries at different times?</w:t>
      </w:r>
      <w:r w:rsidRPr="00665FEF">
        <w:rPr>
          <w:rFonts w:ascii="Verdana" w:hAnsi="Verdana"/>
          <w:sz w:val="18"/>
          <w:szCs w:val="18"/>
          <w:lang w:val="en-GB"/>
        </w:rPr>
        <w:br/>
        <w:t>Yes, phased starts are acceptable if justified.</w:t>
      </w:r>
    </w:p>
    <w:p w14:paraId="567C7DE1" w14:textId="7D8EF5C9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SRHR integration, GBV, and mental health be included?</w:t>
      </w:r>
      <w:r w:rsidRPr="00665FEF">
        <w:rPr>
          <w:rFonts w:ascii="Verdana" w:hAnsi="Verdana"/>
          <w:sz w:val="18"/>
          <w:szCs w:val="18"/>
          <w:lang w:val="en-GB"/>
        </w:rPr>
        <w:br/>
        <w:t>Yes, these can be included as complementary themes contributing to HIV outcomes, though the core focus must remain HIV prevention.</w:t>
      </w:r>
    </w:p>
    <w:p w14:paraId="00F60825" w14:textId="176F9772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is meant by “service delivery”?</w:t>
      </w:r>
      <w:r w:rsidRPr="00665FEF">
        <w:rPr>
          <w:rFonts w:ascii="Verdana" w:hAnsi="Verdana"/>
          <w:sz w:val="18"/>
          <w:szCs w:val="18"/>
          <w:lang w:val="en-GB"/>
        </w:rPr>
        <w:br/>
        <w:t xml:space="preserve">Service delivery includes activities like CSE, testing, referrals, prevention, and care/support </w:t>
      </w:r>
      <w:r w:rsidRPr="00665FEF">
        <w:rPr>
          <w:rFonts w:ascii="Verdana" w:hAnsi="Verdana" w:cs="Verdana"/>
          <w:sz w:val="18"/>
          <w:szCs w:val="18"/>
          <w:lang w:val="en-GB"/>
        </w:rPr>
        <w:t>—</w:t>
      </w:r>
      <w:r w:rsidRPr="00665FEF">
        <w:rPr>
          <w:rFonts w:ascii="Verdana" w:hAnsi="Verdana"/>
          <w:sz w:val="18"/>
          <w:szCs w:val="18"/>
          <w:lang w:val="en-GB"/>
        </w:rPr>
        <w:t xml:space="preserve"> at least 30% of the budget must go to this component.</w:t>
      </w:r>
      <w:r w:rsidR="001755EF" w:rsidRPr="00665FEF">
        <w:rPr>
          <w:rFonts w:ascii="Verdana" w:hAnsi="Verdana"/>
          <w:sz w:val="18"/>
          <w:szCs w:val="18"/>
          <w:lang w:val="en-GB"/>
        </w:rPr>
        <w:t xml:space="preserve"> More information on the </w:t>
      </w:r>
      <w:r w:rsidR="00961F9A" w:rsidRPr="00665FEF">
        <w:rPr>
          <w:rFonts w:ascii="Verdana" w:hAnsi="Verdana"/>
          <w:sz w:val="18"/>
          <w:szCs w:val="18"/>
          <w:lang w:val="en-GB"/>
        </w:rPr>
        <w:t xml:space="preserve">service delivery, as well as other policy framework principles, can be found in the letter to parliament on the </w:t>
      </w:r>
      <w:hyperlink r:id="rId5" w:history="1">
        <w:r w:rsidR="00961F9A" w:rsidRPr="00665FEF">
          <w:rPr>
            <w:rStyle w:val="Hyperlink"/>
            <w:rFonts w:ascii="Verdana" w:hAnsi="Verdana"/>
            <w:sz w:val="18"/>
            <w:szCs w:val="18"/>
            <w:lang w:val="en-GB"/>
          </w:rPr>
          <w:t>policy framework</w:t>
        </w:r>
      </w:hyperlink>
      <w:r w:rsidR="00961F9A" w:rsidRPr="00665FEF">
        <w:rPr>
          <w:rFonts w:ascii="Verdana" w:hAnsi="Verdana"/>
          <w:sz w:val="18"/>
          <w:szCs w:val="18"/>
          <w:lang w:val="en-GB"/>
        </w:rPr>
        <w:t xml:space="preserve"> for cooperation with civil society organisations in the period 2026-2030. </w:t>
      </w:r>
    </w:p>
    <w:p w14:paraId="1FA04929" w14:textId="47B4FEEA" w:rsidR="00961F9A" w:rsidRPr="00665FEF" w:rsidRDefault="00F0701C" w:rsidP="00961F9A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 xml:space="preserve">How many </w:t>
      </w:r>
      <w:r w:rsidR="00961F9A" w:rsidRPr="00665FEF">
        <w:rPr>
          <w:rFonts w:ascii="Verdana" w:hAnsi="Verdana"/>
          <w:b/>
          <w:bCs/>
          <w:sz w:val="18"/>
          <w:szCs w:val="18"/>
          <w:lang w:val="en-GB"/>
        </w:rPr>
        <w:t>contracts</w:t>
      </w:r>
      <w:r w:rsidRPr="00665FEF">
        <w:rPr>
          <w:rFonts w:ascii="Verdana" w:hAnsi="Verdana"/>
          <w:b/>
          <w:bCs/>
          <w:sz w:val="18"/>
          <w:szCs w:val="18"/>
          <w:lang w:val="en-GB"/>
        </w:rPr>
        <w:t xml:space="preserve"> will be awarded?</w:t>
      </w:r>
      <w:r w:rsidRPr="00665FEF">
        <w:rPr>
          <w:rFonts w:ascii="Verdana" w:hAnsi="Verdana"/>
          <w:sz w:val="18"/>
          <w:szCs w:val="18"/>
          <w:lang w:val="en-GB"/>
        </w:rPr>
        <w:br/>
      </w:r>
      <w:r w:rsidR="00961F9A" w:rsidRPr="00665FEF">
        <w:rPr>
          <w:rFonts w:ascii="Verdana" w:hAnsi="Verdana"/>
          <w:sz w:val="18"/>
          <w:szCs w:val="18"/>
          <w:lang w:val="en-GB"/>
        </w:rPr>
        <w:t>The number of contracts to be awarded under this call is not predetermined. The instrument aims to engage partners with a regional scope of work, capable of addressing the different sub-goals and target groups across multiple countries. The objective is to ensure programmatic coherence, prevent fragmentation of efforts, and minimize administrative burden.</w:t>
      </w:r>
    </w:p>
    <w:p w14:paraId="049CE597" w14:textId="4D6925F0" w:rsidR="00F0701C" w:rsidRPr="00665FEF" w:rsidRDefault="00961F9A" w:rsidP="00F0701C">
      <w:pPr>
        <w:rPr>
          <w:rFonts w:ascii="Verdana" w:hAnsi="Verdana"/>
          <w:sz w:val="18"/>
          <w:szCs w:val="18"/>
          <w:lang w:val="en-GB"/>
        </w:rPr>
      </w:pPr>
      <w:r w:rsidRPr="00961F9A">
        <w:rPr>
          <w:rFonts w:ascii="Verdana" w:hAnsi="Verdana"/>
          <w:sz w:val="18"/>
          <w:szCs w:val="18"/>
          <w:lang w:val="en-GB"/>
        </w:rPr>
        <w:t>Accordingly, the Embassy seeks to collaborate with organizations that demonstrate proven regional experience, established networks, and the capacity to manage large-scale programmes effectively. While the exact number of contracts remains open, it is anticipated that only a limited number of regional civil society organizations will be selected to ensure broad and balanced coverage across the region.</w:t>
      </w:r>
    </w:p>
    <w:p w14:paraId="12207D3E" w14:textId="6A2BBA4E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 xml:space="preserve">5. Specialist </w:t>
      </w:r>
      <w:r w:rsidR="00665FEF" w:rsidRPr="00665FEF">
        <w:rPr>
          <w:rFonts w:ascii="Verdana" w:hAnsi="Verdana"/>
          <w:b/>
          <w:bCs/>
          <w:sz w:val="18"/>
          <w:szCs w:val="18"/>
          <w:lang w:val="en-GB"/>
        </w:rPr>
        <w:t>organisation</w:t>
      </w:r>
    </w:p>
    <w:p w14:paraId="03716D86" w14:textId="2B11C3B9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defines a “specialist organisation”?</w:t>
      </w:r>
      <w:r w:rsidRPr="00665FEF">
        <w:rPr>
          <w:rFonts w:ascii="Verdana" w:hAnsi="Verdana"/>
          <w:sz w:val="18"/>
          <w:szCs w:val="18"/>
          <w:lang w:val="en-GB"/>
        </w:rPr>
        <w:br/>
        <w:t>Organisations with 15+ years of experience</w:t>
      </w:r>
      <w:r w:rsidR="00961F9A" w:rsidRPr="00665FEF">
        <w:rPr>
          <w:rFonts w:ascii="Verdana" w:hAnsi="Verdana"/>
          <w:sz w:val="18"/>
          <w:szCs w:val="18"/>
          <w:lang w:val="en-GB"/>
        </w:rPr>
        <w:t xml:space="preserve"> on a specific theme</w:t>
      </w:r>
      <w:r w:rsidRPr="00665FEF">
        <w:rPr>
          <w:rFonts w:ascii="Verdana" w:hAnsi="Verdana"/>
          <w:sz w:val="18"/>
          <w:szCs w:val="18"/>
          <w:lang w:val="en-GB"/>
        </w:rPr>
        <w:t>, 80% expenditure in their core theme, and a strong reputation in that field.</w:t>
      </w:r>
      <w:r w:rsidR="00961F9A" w:rsidRPr="00665FEF">
        <w:rPr>
          <w:rFonts w:ascii="Verdana" w:hAnsi="Verdana"/>
          <w:sz w:val="18"/>
          <w:szCs w:val="18"/>
          <w:lang w:val="en-GB"/>
        </w:rPr>
        <w:t xml:space="preserve"> See more information in the threshold criteria for financial independence. </w:t>
      </w:r>
    </w:p>
    <w:p w14:paraId="3183516C" w14:textId="7CEA0D2A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Where can specialist organisations be registered?</w:t>
      </w:r>
      <w:r w:rsidRPr="00665FEF">
        <w:rPr>
          <w:rFonts w:ascii="Verdana" w:hAnsi="Verdana"/>
          <w:sz w:val="18"/>
          <w:szCs w:val="18"/>
          <w:lang w:val="en-GB"/>
        </w:rPr>
        <w:br/>
        <w:t>In any low- or middle-income country on the OECD-DAC list</w:t>
      </w:r>
      <w:r w:rsidR="00893880" w:rsidRPr="00665FEF">
        <w:rPr>
          <w:rFonts w:ascii="Verdana" w:hAnsi="Verdana"/>
          <w:sz w:val="18"/>
          <w:szCs w:val="18"/>
          <w:lang w:val="en-GB"/>
        </w:rPr>
        <w:t>. However, in this HIV instrument, o</w:t>
      </w:r>
      <w:r w:rsidR="00893880" w:rsidRPr="00665FEF">
        <w:rPr>
          <w:rFonts w:ascii="Verdana" w:hAnsi="Verdana"/>
          <w:sz w:val="18"/>
          <w:szCs w:val="18"/>
          <w:lang w:val="en-GB"/>
        </w:rPr>
        <w:t xml:space="preserve">nly regional CSOs registered in one of the six focus countries (Angola, Eswatini, Mozambique, South Africa, Zambia, or Zimbabwe) are eligible to apply as </w:t>
      </w:r>
      <w:r w:rsidR="00893880" w:rsidRPr="00665FEF">
        <w:rPr>
          <w:rFonts w:ascii="Verdana" w:hAnsi="Verdana"/>
          <w:sz w:val="18"/>
          <w:szCs w:val="18"/>
          <w:lang w:val="en-GB"/>
        </w:rPr>
        <w:t>main</w:t>
      </w:r>
      <w:r w:rsidR="00893880" w:rsidRPr="00665FEF">
        <w:rPr>
          <w:rFonts w:ascii="Verdana" w:hAnsi="Verdana"/>
          <w:sz w:val="18"/>
          <w:szCs w:val="18"/>
          <w:lang w:val="en-GB"/>
        </w:rPr>
        <w:t xml:space="preserve"> applicants</w:t>
      </w:r>
      <w:r w:rsidR="00893880" w:rsidRPr="00665FEF">
        <w:rPr>
          <w:rFonts w:ascii="Verdana" w:hAnsi="Verdana"/>
          <w:sz w:val="18"/>
          <w:szCs w:val="18"/>
          <w:lang w:val="en-GB"/>
        </w:rPr>
        <w:t>.</w:t>
      </w:r>
    </w:p>
    <w:p w14:paraId="15D7685D" w14:textId="629A0616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Are there special financial rules for them?</w:t>
      </w:r>
      <w:r w:rsidRPr="00665FEF">
        <w:rPr>
          <w:rFonts w:ascii="Verdana" w:hAnsi="Verdana"/>
          <w:sz w:val="18"/>
          <w:szCs w:val="18"/>
          <w:lang w:val="en-GB"/>
        </w:rPr>
        <w:br/>
        <w:t>Yes. They are exempt from the 25% non-MoFA income rule, subject to verification during Phase 2.</w:t>
      </w:r>
    </w:p>
    <w:p w14:paraId="2E59FDC4" w14:textId="77777777" w:rsidR="00EB0176" w:rsidRPr="00665FEF" w:rsidRDefault="00EB0176" w:rsidP="00F0701C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310396CD" w14:textId="1884811D" w:rsidR="00F0701C" w:rsidRPr="00665FEF" w:rsidRDefault="00F0701C" w:rsidP="00F0701C">
      <w:pPr>
        <w:rPr>
          <w:rFonts w:ascii="Verdana" w:hAnsi="Verdana"/>
          <w:b/>
          <w:bCs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6. Other Common Questions</w:t>
      </w:r>
    </w:p>
    <w:p w14:paraId="71BD0CDD" w14:textId="60219FFB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local organisations apply directly?</w:t>
      </w:r>
      <w:r w:rsidRPr="00665FEF">
        <w:rPr>
          <w:rFonts w:ascii="Verdana" w:hAnsi="Verdana"/>
          <w:sz w:val="18"/>
          <w:szCs w:val="18"/>
          <w:lang w:val="en-GB"/>
        </w:rPr>
        <w:br/>
        <w:t>No. They can only participate as sub-contractors to regional CSOs.</w:t>
      </w:r>
    </w:p>
    <w:p w14:paraId="235A64B8" w14:textId="0E0EB75E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Can training of civil servants be funded?</w:t>
      </w:r>
      <w:r w:rsidRPr="00665FEF">
        <w:rPr>
          <w:rFonts w:ascii="Verdana" w:hAnsi="Verdana"/>
          <w:sz w:val="18"/>
          <w:szCs w:val="18"/>
          <w:lang w:val="en-GB"/>
        </w:rPr>
        <w:br/>
        <w:t>Yes, if directly linked to improving HIV service delivery to target groups.</w:t>
      </w:r>
    </w:p>
    <w:p w14:paraId="5DD6A3E9" w14:textId="46CBEE5F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What about the Theory of Change or MEL framework?</w:t>
      </w:r>
      <w:r w:rsidRPr="00665FEF">
        <w:rPr>
          <w:rFonts w:ascii="Verdana" w:hAnsi="Verdana"/>
          <w:sz w:val="18"/>
          <w:szCs w:val="18"/>
          <w:lang w:val="en-GB"/>
        </w:rPr>
        <w:br/>
        <w:t>A harmonised MEL framework will be developed jointly</w:t>
      </w:r>
      <w:r w:rsidR="00EB0176" w:rsidRPr="00665FEF">
        <w:rPr>
          <w:rFonts w:ascii="Verdana" w:hAnsi="Verdana"/>
          <w:sz w:val="18"/>
          <w:szCs w:val="18"/>
          <w:lang w:val="en-GB"/>
        </w:rPr>
        <w:t xml:space="preserve"> with the selected</w:t>
      </w:r>
      <w:r w:rsidRPr="00665FEF">
        <w:rPr>
          <w:rFonts w:ascii="Verdana" w:hAnsi="Verdana"/>
          <w:sz w:val="18"/>
          <w:szCs w:val="18"/>
          <w:lang w:val="en-GB"/>
        </w:rPr>
        <w:t>; indicators will be shared at the proposal stage.</w:t>
      </w:r>
      <w:r w:rsidR="00EB0176" w:rsidRPr="00665FEF">
        <w:rPr>
          <w:rFonts w:ascii="Verdana" w:hAnsi="Verdana"/>
          <w:sz w:val="18"/>
          <w:szCs w:val="18"/>
          <w:lang w:val="en-GB"/>
        </w:rPr>
        <w:t xml:space="preserve">  </w:t>
      </w:r>
    </w:p>
    <w:p w14:paraId="0E5AFCE9" w14:textId="455E4830" w:rsidR="00F0701C" w:rsidRPr="00665FEF" w:rsidRDefault="00F0701C" w:rsidP="00F0701C">
      <w:pPr>
        <w:rPr>
          <w:rFonts w:ascii="Verdana" w:hAnsi="Verdana"/>
          <w:sz w:val="18"/>
          <w:szCs w:val="18"/>
          <w:lang w:val="en-GB"/>
        </w:rPr>
      </w:pPr>
      <w:r w:rsidRPr="00665FEF">
        <w:rPr>
          <w:rFonts w:ascii="Verdana" w:hAnsi="Verdana"/>
          <w:b/>
          <w:bCs/>
          <w:sz w:val="18"/>
          <w:szCs w:val="18"/>
          <w:lang w:val="en-GB"/>
        </w:rPr>
        <w:t>Will collaboration among selected CSOs be encouraged?</w:t>
      </w:r>
      <w:r w:rsidRPr="00665FEF">
        <w:rPr>
          <w:rFonts w:ascii="Verdana" w:hAnsi="Verdana"/>
          <w:sz w:val="18"/>
          <w:szCs w:val="18"/>
          <w:lang w:val="en-GB"/>
        </w:rPr>
        <w:br/>
        <w:t>Yes. Collaboration and coordination among selected partners are expected to ensure complementarity and learning.</w:t>
      </w:r>
    </w:p>
    <w:p w14:paraId="4F4286BC" w14:textId="77777777" w:rsidR="00396F4F" w:rsidRPr="00665FEF" w:rsidRDefault="00396F4F">
      <w:pPr>
        <w:rPr>
          <w:rFonts w:ascii="Verdana" w:hAnsi="Verdana"/>
          <w:sz w:val="18"/>
          <w:szCs w:val="18"/>
          <w:lang w:val="en-GB"/>
        </w:rPr>
      </w:pPr>
    </w:p>
    <w:sectPr w:rsidR="00396F4F" w:rsidRPr="00665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1C"/>
    <w:rsid w:val="001755EF"/>
    <w:rsid w:val="001A3909"/>
    <w:rsid w:val="00396F4F"/>
    <w:rsid w:val="00652F53"/>
    <w:rsid w:val="00665FEF"/>
    <w:rsid w:val="00714BA9"/>
    <w:rsid w:val="00811A9C"/>
    <w:rsid w:val="00893880"/>
    <w:rsid w:val="00961F9A"/>
    <w:rsid w:val="00C402CA"/>
    <w:rsid w:val="00E45933"/>
    <w:rsid w:val="00EB0176"/>
    <w:rsid w:val="00F0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CFA"/>
  <w15:chartTrackingRefBased/>
  <w15:docId w15:val="{1393F0B3-1831-496A-89E6-FC2DA4F3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0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8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1F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ernment.nl/documents/parliamentary-documents/2025/09/24/letter-to-parliament-on-the-policy-framework-for-cooperation-with-civil-society-organisations-in-the-period-2026-2030" TargetMode="External"/><Relationship Id="rId4" Type="http://schemas.openxmlformats.org/officeDocument/2006/relationships/hyperlink" Target="https://www.government.nl/binaries/government/documenten/parliamentary-documents/2025/09/24/letter-to-parliament-on-the-policy-framework-for-cooperation-with-civil-society-organisations-in-the-period-2026-2030/Letter+to+Parliament+on+the+policy+framework+for+cooperation+with+civil+society+organisations+in+the+period+2026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Chongo, Joao</dc:creator>
  <cp:keywords/>
  <dc:description/>
  <cp:lastModifiedBy>Veldwijk, Nick</cp:lastModifiedBy>
  <cp:revision>5</cp:revision>
  <dcterms:created xsi:type="dcterms:W3CDTF">2025-10-21T09:00:00Z</dcterms:created>
  <dcterms:modified xsi:type="dcterms:W3CDTF">2025-10-21T14:57:00Z</dcterms:modified>
</cp:coreProperties>
</file>